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Colleague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have learned that the FastBridge team will make an improved Progress Monitoring plan setup page available in FastBridge on September 9th. This new setup page offers a simplified workflow when creating or editing Reading or Math Progress Monitoring plans.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Unlike past FastBridge releases, the new setup form will </w:t>
      </w:r>
      <w:r w:rsidDel="00000000" w:rsidR="00000000" w:rsidRPr="00000000">
        <w:rPr>
          <w:b w:val="1"/>
          <w:rtl w:val="0"/>
        </w:rPr>
        <w:t xml:space="preserve">not</w:t>
      </w:r>
      <w:r w:rsidDel="00000000" w:rsidR="00000000" w:rsidRPr="00000000">
        <w:rPr>
          <w:rtl w:val="0"/>
        </w:rPr>
        <w:t xml:space="preserve"> be automatically released to everyone at once. Instead, it is being made available to districts on an opt-in basis starting September 9th and throughout the fall.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team is currently evaluating the new form and will determine when it makes the most sense to enable it for use in our district. In the meantime, you will see in-app messages about the new setup form when you’re in the platform.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are optimistic about this improved setup process and would like to invite you to </w:t>
      </w:r>
      <w:r w:rsidDel="00000000" w:rsidR="00000000" w:rsidRPr="00000000">
        <w:rPr>
          <w:rtl w:val="0"/>
        </w:rPr>
        <w:t xml:space="preserve">learn more about this and other updates in the </w:t>
      </w:r>
      <w:hyperlink r:id="rId6">
        <w:r w:rsidDel="00000000" w:rsidR="00000000" w:rsidRPr="00000000">
          <w:rPr>
            <w:color w:val="1155cc"/>
            <w:u w:val="single"/>
            <w:rtl w:val="0"/>
          </w:rPr>
          <w:t xml:space="preserve">FastBridge Summer 2022 Release Plans</w:t>
        </w:r>
      </w:hyperlink>
      <w:r w:rsidDel="00000000" w:rsidR="00000000" w:rsidRPr="00000000">
        <w:rPr>
          <w:rtl w:val="0"/>
        </w:rPr>
        <w:t xml:space="preserve"> document</w:t>
      </w:r>
      <w:r w:rsidDel="00000000" w:rsidR="00000000" w:rsidRPr="00000000">
        <w:rPr>
          <w:rtl w:val="0"/>
        </w:rPr>
        <w:t xml:space="preserve">. We know the FastBridge team is planning to release updated resources in their </w:t>
      </w:r>
      <w:r w:rsidDel="00000000" w:rsidR="00000000" w:rsidRPr="00000000">
        <w:rPr>
          <w:rtl w:val="0"/>
        </w:rPr>
        <w:t xml:space="preserve">Knowledge Base and will share them with you </w:t>
      </w:r>
      <w:r w:rsidDel="00000000" w:rsidR="00000000" w:rsidRPr="00000000">
        <w:rPr>
          <w:rtl w:val="0"/>
        </w:rPr>
        <w:t xml:space="preserve">in future communications.</w:t>
      </w:r>
    </w:p>
    <w:p w:rsidR="00000000" w:rsidDel="00000000" w:rsidP="00000000" w:rsidRDefault="00000000" w:rsidRPr="00000000" w14:paraId="0000000A">
      <w:pPr>
        <w:jc w:val="center"/>
        <w:rPr>
          <w:color w:val="505050"/>
          <w:sz w:val="21"/>
          <w:szCs w:val="21"/>
        </w:rPr>
      </w:pPr>
      <w:r w:rsidDel="00000000" w:rsidR="00000000" w:rsidRPr="00000000">
        <w:rPr>
          <w:rtl w:val="0"/>
        </w:rPr>
      </w:r>
    </w:p>
    <w:p w:rsidR="00000000" w:rsidDel="00000000" w:rsidP="00000000" w:rsidRDefault="00000000" w:rsidRPr="00000000" w14:paraId="0000000B">
      <w:pPr>
        <w:jc w:val="center"/>
        <w:rPr>
          <w:color w:val="505050"/>
          <w:sz w:val="21"/>
          <w:szCs w:val="2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We’ll provide more information on the availability of the new setup form in our district soon.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Sincerely,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[District Assessment Team]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5-kfVpgTN5CB9rm2mFBu6HOwvUw_f-Tz/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